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5B1" w:rsidRDefault="001223B4">
      <w:pPr>
        <w:suppressAutoHyphens/>
        <w:rPr>
          <w:rFonts w:ascii="Cambria" w:eastAsia="Cambria" w:hAnsi="Cambria" w:cs="Cambria"/>
          <w:sz w:val="22"/>
          <w:szCs w:val="22"/>
          <w:lang w:eastAsia="pl-PL" w:bidi="pl-PL"/>
        </w:rPr>
      </w:pPr>
      <w:bookmarkStart w:id="0" w:name="_GoBack"/>
      <w:bookmarkEnd w:id="0"/>
      <w:r>
        <w:rPr>
          <w:rFonts w:ascii="Cambria" w:eastAsia="Cambria" w:hAnsi="Cambria" w:cs="Cambria"/>
          <w:sz w:val="22"/>
          <w:szCs w:val="22"/>
          <w:lang w:eastAsia="pl-PL" w:bidi="pl-PL"/>
        </w:rPr>
        <w:t xml:space="preserve">W 2025 r. obchodzimy jubileusz 20-lecia bardzo ważnego dla mniejszości dokumentu prawnego, jakim jest </w:t>
      </w:r>
      <w:r>
        <w:rPr>
          <w:rFonts w:ascii="Cambria" w:eastAsia="Cambria" w:hAnsi="Cambria" w:cs="Cambria"/>
          <w:i/>
          <w:iCs/>
          <w:sz w:val="22"/>
          <w:szCs w:val="22"/>
          <w:lang w:eastAsia="pl-PL" w:bidi="pl-PL"/>
        </w:rPr>
        <w:t xml:space="preserve">Ustawa z dnia 6 stycznia 2005 r. o </w:t>
      </w:r>
      <w:r>
        <w:rPr>
          <w:rFonts w:ascii="Cambria" w:eastAsia="Cambria" w:hAnsi="Cambria" w:cs="Cambria"/>
          <w:i/>
          <w:iCs/>
          <w:sz w:val="22"/>
          <w:szCs w:val="22"/>
          <w:lang w:eastAsia="pl-PL" w:bidi="pl-PL"/>
        </w:rPr>
        <w:t>mniejszościach narodowych i etnicznych oraz o języku regionalnym</w:t>
      </w:r>
      <w:r>
        <w:rPr>
          <w:rFonts w:ascii="Cambria" w:eastAsia="Cambria" w:hAnsi="Cambria" w:cs="Cambria"/>
          <w:sz w:val="22"/>
          <w:szCs w:val="22"/>
          <w:lang w:eastAsia="pl-PL" w:bidi="pl-PL"/>
        </w:rPr>
        <w:t>.</w:t>
      </w:r>
    </w:p>
    <w:p w:rsidR="00D255B1" w:rsidRDefault="00D255B1">
      <w:pPr>
        <w:suppressAutoHyphens/>
        <w:rPr>
          <w:rFonts w:ascii="Cambria" w:eastAsia="Cambria" w:hAnsi="Cambria" w:cs="Cambria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mbria" w:eastAsia="Cambria" w:hAnsi="Cambria" w:cs="Cambria"/>
          <w:sz w:val="22"/>
          <w:szCs w:val="22"/>
          <w:lang w:eastAsia="pl-PL" w:bidi="pl-PL"/>
        </w:rPr>
      </w:pPr>
      <w:r>
        <w:rPr>
          <w:rFonts w:ascii="Cambria" w:eastAsia="Cambria" w:hAnsi="Cambria" w:cs="Cambria"/>
          <w:sz w:val="22"/>
          <w:szCs w:val="22"/>
          <w:lang w:eastAsia="pl-PL" w:bidi="pl-PL"/>
        </w:rPr>
        <w:t xml:space="preserve">Określa ona politykę państwa wobec mniejszości oraz określa ich prawa. </w:t>
      </w:r>
    </w:p>
    <w:p w:rsidR="00D255B1" w:rsidRDefault="001223B4">
      <w:pPr>
        <w:suppressAutoHyphens/>
        <w:rPr>
          <w:rFonts w:ascii="Cambria" w:eastAsia="Cambria" w:hAnsi="Cambria" w:cs="Cambria"/>
          <w:sz w:val="22"/>
          <w:szCs w:val="22"/>
          <w:lang w:eastAsia="pl-PL" w:bidi="pl-PL"/>
        </w:rPr>
      </w:pPr>
      <w:r>
        <w:rPr>
          <w:rFonts w:ascii="Cambria" w:eastAsia="Cambria" w:hAnsi="Cambria" w:cs="Cambria"/>
          <w:sz w:val="22"/>
          <w:szCs w:val="22"/>
          <w:lang w:eastAsia="pl-PL" w:bidi="pl-PL"/>
        </w:rPr>
        <w:t>Jest to jeden z najważniejszych dokumentów dla wszystkich mniejszości narodowych i etnicznych żyjących w Polsce, w ty</w:t>
      </w:r>
      <w:r>
        <w:rPr>
          <w:rFonts w:ascii="Cambria" w:eastAsia="Cambria" w:hAnsi="Cambria" w:cs="Cambria"/>
          <w:sz w:val="22"/>
          <w:szCs w:val="22"/>
          <w:lang w:eastAsia="pl-PL" w:bidi="pl-PL"/>
        </w:rPr>
        <w:t>m – dla mniejszości niemieckiej.</w:t>
      </w:r>
    </w:p>
    <w:p w:rsidR="00D255B1" w:rsidRDefault="001223B4">
      <w:pPr>
        <w:pBdr>
          <w:top w:val="nil"/>
          <w:left w:val="nil"/>
          <w:bottom w:val="nil"/>
          <w:right w:val="nil"/>
          <w:between w:val="nil"/>
        </w:pBdr>
        <w:suppressAutoHyphens/>
        <w:jc w:val="both"/>
        <w:rPr>
          <w:rFonts w:ascii="Cambria" w:eastAsia="Cambria" w:hAnsi="Cambria" w:cs="Cambria"/>
          <w:sz w:val="22"/>
          <w:szCs w:val="22"/>
          <w:lang w:eastAsia="pl-PL" w:bidi="pl-PL"/>
        </w:rPr>
      </w:pPr>
      <w:r>
        <w:rPr>
          <w:rFonts w:ascii="Cambria" w:eastAsia="Cambria" w:hAnsi="Cambria" w:cs="Cambria"/>
          <w:sz w:val="22"/>
          <w:szCs w:val="22"/>
          <w:lang w:eastAsia="pl-PL" w:bidi="pl-PL"/>
        </w:rPr>
        <w:t>Dokument ten, pierwszy tego rodzaju w Polsce, nie tylko uwidocznił istnienie mniejszości narodowych i etnicznych, ale także nadał im prawa umożliwiające swobodne wyrażanie swojej tożsamości.</w:t>
      </w:r>
    </w:p>
    <w:p w:rsidR="00D255B1" w:rsidRDefault="00D255B1">
      <w:pPr>
        <w:pBdr>
          <w:top w:val="nil"/>
          <w:left w:val="nil"/>
          <w:bottom w:val="nil"/>
          <w:right w:val="nil"/>
          <w:between w:val="nil"/>
        </w:pBdr>
        <w:suppressAutoHyphens/>
        <w:jc w:val="both"/>
        <w:rPr>
          <w:rFonts w:ascii="Cambria" w:eastAsia="Cambria" w:hAnsi="Cambria" w:cs="Cambria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mbria" w:eastAsia="Cambria" w:hAnsi="Cambria" w:cs="Cambria"/>
          <w:sz w:val="22"/>
          <w:szCs w:val="22"/>
          <w:highlight w:val="yellow"/>
          <w:lang w:eastAsia="pl-PL" w:bidi="pl-PL"/>
        </w:rPr>
      </w:pPr>
      <w:r>
        <w:rPr>
          <w:rFonts w:ascii="Cambria" w:eastAsia="Cambria" w:hAnsi="Cambria" w:cs="Cambria"/>
          <w:sz w:val="22"/>
          <w:szCs w:val="22"/>
          <w:lang w:eastAsia="pl-PL" w:bidi="pl-PL"/>
        </w:rPr>
        <w:t>Tak o roli ustawy wypowiadają s</w:t>
      </w:r>
      <w:r>
        <w:rPr>
          <w:rFonts w:ascii="Cambria" w:eastAsia="Cambria" w:hAnsi="Cambria" w:cs="Cambria"/>
          <w:sz w:val="22"/>
          <w:szCs w:val="22"/>
          <w:lang w:eastAsia="pl-PL" w:bidi="pl-PL"/>
        </w:rPr>
        <w:t xml:space="preserve">ię osoby ze środowisk mniejszości: </w:t>
      </w: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(1) 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Jubileusz (...) uchwalenia ustawy o mniejszościach narodowych i etnicznych oraz społeczności używającej języka regionalnego skłania do podjęcia refleksji nad funkcjonowaniem i skutkami tego aktu prawnego, ale też szerzej – nad polityką mniejszościową prowa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dzoną w naszym kraju po 1989 r. A była ona (i pozostaje do dziś) bardzo zróżnicowana – w zależności od okresu, od sił politycznych sprawujących władzę, od tego, na jakim poziomi była ona realizowana (w skali ogólnopolskiej, regionalnej, lokalnej czy może w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wymiarze międzynarodowym). W dużej mierze zależy ona także od potencjału poszczególnych mniejszości, ich stopnia mobilizacji i samoorganizacji, jak również od tego, czy mogą one liczyć na życzliwe wsparcie „z zewnątrz” – ze strony swojego państwa-narodu,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czy raczej skazane są na siebie. (...) </w:t>
      </w:r>
    </w:p>
    <w:p w:rsidR="00D255B1" w:rsidRDefault="001223B4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Dla mniejszości od dawna ważnych jest kilka kluczowych obszarów życia społecznego: edukacja i różne jej formy, ochrona języka, jego popularyzacja i dbanie o przekaz międzypokoleniowy, ale też obecność w przestrzeni p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ublicznej. Także troska o dziedzictwo kulturowe, zwłaszcza starania o własną pamięć historyczną.</w:t>
      </w:r>
    </w:p>
    <w:p w:rsidR="00D255B1" w:rsidRDefault="001223B4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(Cezary 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Obracht-Prondzyński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, </w:t>
      </w:r>
      <w:r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  <w:t>naukowiec, badacz społeczności kaszubskiej</w:t>
      </w:r>
      <w:r>
        <w:rPr>
          <w:rFonts w:ascii="Calibri" w:eastAsia="Calibri" w:hAnsi="Calibri" w:cs="Calibri"/>
          <w:sz w:val="22"/>
          <w:szCs w:val="22"/>
          <w:lang w:eastAsia="pl-PL" w:bidi="pl-PL"/>
        </w:rPr>
        <w:t>)</w:t>
      </w:r>
    </w:p>
    <w:p w:rsidR="00D255B1" w:rsidRDefault="00D255B1">
      <w:pPr>
        <w:pBdr>
          <w:top w:val="nil"/>
          <w:left w:val="nil"/>
          <w:bottom w:val="nil"/>
          <w:right w:val="nil"/>
          <w:between w:val="nil"/>
        </w:pBdr>
        <w:suppressAutoHyphens/>
        <w:rPr>
          <w:lang w:eastAsia="pl-PL" w:bidi="pl-PL"/>
        </w:rPr>
      </w:pPr>
    </w:p>
    <w:p w:rsidR="00D255B1" w:rsidRDefault="00D255B1">
      <w:pPr>
        <w:pBdr>
          <w:top w:val="nil"/>
          <w:left w:val="nil"/>
          <w:bottom w:val="nil"/>
          <w:right w:val="nil"/>
          <w:between w:val="nil"/>
        </w:pBdr>
        <w:suppressAutoHyphens/>
        <w:rPr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(2)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Funkcjonujące w Polsce lokalne kultury mniejszościowe są wyjątkowymi, 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oryginalnymi mikrokosmosami, będącymi dziedzictwem Rzeczypospolitej i całej ludzkości. Ich zanikanie, a jesteśmy, niestety, świadkami takich zjawisk, jest dramatem nie tylko społeczności, których to dotyczy, nie tylko tych kultur etnicznych, których są czę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ścią, ale zuboża także całą spuściznę kulturową Rzeczypospolitej i Europy.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Przy takiej perspektywie działania osób należących do społeczności mniejszościowych na rzecz zachowania i rozwoju tego, co dla nich najcenniejsze, najgłębsze, tj. własnej tożsamości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, rodzimej kultury, tradycji, języka przodków, są nie tylko przejawem samorealizacji, spełnianiem naturalnego pragnienia. To także troska o dziedzictwo kulturowe Rzeczypospolitej i spuściznę ogólnoludzką, której kultury lokalne są elementem. 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(...) Zachowa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nie własnej tożsamości i kultury jest oczywiście odpowiedzialnością przede wszystkim samych społeczności mniejszościowych. Jednak aby mogły one to robić, państwo i społeczeństwo większościowe powinni im zapewnić ku temu warunki. 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 xml:space="preserve">(Grzegorz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Kuprianowicz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, mn</w:t>
      </w: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iejszość ukraińska)</w:t>
      </w: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(3)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Ustawa o mniejszościach narodowych i etnicznych oraz o języku regionalnym z mojego punktu widzenia stanowi kamień milowy na drodze do właściwego usytuowania tych grup w polskim porządku prawnym. Po wielu latach pracy powstał dokum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ent, który w pełni uznawał prawa i aspiracje osób do nich przynależących. (...) Ustawa zakotwiczyła w polskim porządku prawnym kwestie, 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lastRenderedPageBreak/>
        <w:t xml:space="preserve">o które przedstawiciele środowisk mniejszości narodowych i etnicznych zabiegali od roku 1989. W konsekwencji określona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została definicja mniejszości narodowej i etnicznej oraz wskazano, kto konkretnie do nich należy. Ustawa zawiera też przepisy dotyczące używania języka mniejszości, dodatkowych tradycyjnych nazw w języku mniejszości, oświaty, kultury, języka regionalnego,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organów do spraw mniejszości narodowych i etnicznych, Komisji Wspólnej Rządu i Mniejszości Narodowych i Etnicznych i wiele innych. (...) 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Dzisiaj można powiedzieć, że wiele zapisów zawartych w ustawie sprawdziło się i dzięki nim także i moja organizacja, T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owarzystwo Społeczno-Kulturalne Niemców na Śląsku Opolskim, może z powodzeniem prowadzić swoje aktywności w rozmaitych obszarach życia społecznego i kulturalnego.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Jednocześnie należy podkreślić, że ustawa stanowiła i stanowi dopełnienie oraz rozszerzenie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innych uregulowań prawnych odnoszących się do mniejszości narodowych i etnicznych, które są zawarte m.in. w aktach prawnych  dotyczących funkcjonowania oświaty. </w:t>
      </w:r>
    </w:p>
    <w:p w:rsidR="00D255B1" w:rsidRDefault="001223B4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(Ryszard Galla, mniejszość niemiecka) </w:t>
      </w: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(4)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Od 2005 roku najważniejszą ustawą dla wszystkich 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mniejszości narodowych i etnicznych w Polsce jest Ustawa o mniejszościach narodowych i etnicznych oraz języku regionalnym (sprecyzowano w niej prawa do zachowania i rozwoju tożsamości kulturowej mniejszości narodowych i etnicznych oraz obowiązki państwa po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lskiego wobec mniejszości). (...)  Zgodnie z Ustawą o mniejszościach narodowych i etnicznych oraz o języku regionalnym z 6 stycznia 2005 roku mniejszości mają prawo wprowadzania na terenie gmin, gdzie dana mniejszość stanowi 20% populacji, podwójnego nazew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nictwa miejscowości na tablicach wjazdowych do danej miejscowości i używania swego języka jako pomocniczego w mowie i piśmie w gminnych urzędach oraz do powrotu zapisu swoich imion i nazwisk (dotyczy to przede wszystkim członków mniejszości niemieckiej) w 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swoim ojczystym języku.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(...) Generalnie szkolnictwo dla mniejszości niemieckiej istnieje tam, gdzie znajdują się większe skupiska mniejszości niemieckiej, tj. głównie w województwie opolskim, w mniejszym stopniu w województwie śląskim i w znacznie mniejszym stopniu w województwi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e warmińsko-mazurskim. 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(...) Warunki i sposoby wykonywania przez przedszkola, szkoły i placówki publiczne zadań umożliwiających podtrzymywanie poczucia tożsamości narodowej, etnicznej i językowej uczniów należących do mniejszości narodowych i etnicznych o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raz społeczności posługującej się językiem regionalnym określone są szczegółowo w Rozporządzeniach Ministra Edukacji Narodowej. (...) 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W Polsce wśród szkół organizujących nauczanie języka mniejszości narodowych i etnicznych przeważają szkoły, w których pro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wadzone jest nauczanie języka niemieckiego w formie dodatkowej (szkoły z dodatkową nauką języka niemieckiego jako języka mniejszości narodowej). Pod koniec drugiej dekady XXI wieku było ich w województwie opolskim ponad 230 i kilkadziesiąt w województwie ś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ląskim. Na Warmii i Mazurach nauka języka niemieckiego w takiej formie nauczania odbywa się w ok. 40 szkołach (ok. 2 tys. uczniów). W pozostałych regionach Polski istnieją nieliczne placówki szkolne, gdzie prowadzona jest taka forma nauczania. Szacuje się,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 że języka niemieckiego jako języka mniejszości narodowej uczy się ok. 50 tysięcy młodych ludzi. (...).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 xml:space="preserve">Po latach poprawa stopnia znajomości języka niemieckiego, napływ i wykształcenie kadry pedagogicznej spowodował powstanie pierwszych klas dwujęzycznych </w:t>
      </w:r>
      <w:r>
        <w:rPr>
          <w:rFonts w:ascii="Calibri" w:eastAsia="Calibri" w:hAnsi="Calibri" w:cs="Calibri"/>
          <w:color w:val="000000"/>
          <w:sz w:val="24"/>
          <w:szCs w:val="24"/>
          <w:lang w:eastAsia="pl-PL" w:bidi="pl-PL"/>
        </w:rPr>
        <w:t>w szkolnictwie ponadpodstawowym na historycznym Górnym Śląsku. Obecnie nauczanie dwujęzyczne jest prowadzone w kilkunastu szkołach podstawowych na terenie województwa opolskiego (...).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 xml:space="preserve">(Paweł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Popieliński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, naukowiec zajmujący się mniejszością niemiecką i sp</w:t>
      </w: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ołecznością śląską)</w:t>
      </w: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D255B1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(5) 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Dwujęzyczne nazwy miejscowości wniosły w życie mniejszości niemieckiej na Górnym Śląsku zmianę, którą można by nazwać jakościową. Wraz z dodatkowymi nazwami miejscowości w języku niemieckim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lastRenderedPageBreak/>
        <w:t>śląscy Niemcy jako społeczność stali si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ę widoczni, zaznaczali swoją obecność już nie tylko poprzez życie organizacyjne czy kulturalne, festyny i wystawy, słowem: przez swoją aktywność. I działo się to na mocy prawa. (...)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Pierwszą miejscowością, która uzyskała dodatkowa niemiecką nazwę na tabli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cy miejscowości, była wieś Łubowice/</w:t>
      </w:r>
      <w:proofErr w:type="spellStart"/>
      <w:r>
        <w:rPr>
          <w:rFonts w:ascii="Calibri" w:eastAsia="Calibri" w:hAnsi="Calibri" w:cs="Calibri"/>
          <w:sz w:val="24"/>
          <w:szCs w:val="24"/>
          <w:lang w:eastAsia="pl-PL" w:bidi="pl-PL"/>
        </w:rPr>
        <w:t>Lubowitz</w:t>
      </w:r>
      <w:proofErr w:type="spellEnd"/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w województwie śląskim, co miało o tyle symboliczny charakter, że urodził się w niej jeden z największych niemieckich poetów  romantycznych – Joseph </w:t>
      </w:r>
      <w:proofErr w:type="spellStart"/>
      <w:r>
        <w:rPr>
          <w:rFonts w:ascii="Calibri" w:eastAsia="Calibri" w:hAnsi="Calibri" w:cs="Calibri"/>
          <w:sz w:val="24"/>
          <w:szCs w:val="24"/>
          <w:lang w:eastAsia="pl-PL" w:bidi="pl-PL"/>
        </w:rPr>
        <w:t>Freiherr</w:t>
      </w:r>
      <w:proofErr w:type="spellEnd"/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von </w:t>
      </w:r>
      <w:proofErr w:type="spellStart"/>
      <w:r>
        <w:rPr>
          <w:rFonts w:ascii="Calibri" w:eastAsia="Calibri" w:hAnsi="Calibri" w:cs="Calibri"/>
          <w:sz w:val="24"/>
          <w:szCs w:val="24"/>
          <w:lang w:eastAsia="pl-PL" w:bidi="pl-PL"/>
        </w:rPr>
        <w:t>Eichendorff</w:t>
      </w:r>
      <w:proofErr w:type="spellEnd"/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.  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>Radłów jest jednak pierwszą gminą,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w której wszystkie miejscowości zyskały nazwę dodatkową w języku niemieckim. Odsłonięcie w niej tablic poprzedzała burza medialna i polityczna, w której nie brakowało haseł o „niemieckim rewizjonizmie” czy „spisku mniejszości niemieckiej” i całej masy wyp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owiedzi o podziałach, jakie te tablice wywołają. Przewidując i reagując na te zarzuty mniejszość niemiecka wraz z władzami gminy odsłonięcie poprzedziła konferencją, której celem było pokazanie dwujęzyczności jako swego rodzaju normalności na terenie Europ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y, a nie ewenementu. Sam zbierałem na potrzeby prezentacji zdjęcia dwujęzycznych szyldów z Niemiec, Belgii, Włoch, Rumunii, Węgier  i innych krajów – po to, by ten nieznany europejski standard przybliżyć. (...)</w:t>
      </w:r>
    </w:p>
    <w:p w:rsidR="00D255B1" w:rsidRDefault="001223B4">
      <w:pPr>
        <w:suppressAutoHyphens/>
        <w:rPr>
          <w:rFonts w:ascii="Calibri" w:eastAsia="Calibri" w:hAnsi="Calibri" w:cs="Calibri"/>
          <w:sz w:val="24"/>
          <w:szCs w:val="24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 Byłem w Radłowie podczas odsłaniania tablic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dwujęzycznych obecny i muszę powiedzieć, że trudno opisać uczucie związane ze świadomością, iż po latach dyskryminacji kulturowej i językowej na Śląsku stają szyldy, na których np. pod nazwą Kolonia Biskupska pojawia się </w:t>
      </w:r>
      <w:proofErr w:type="spellStart"/>
      <w:r>
        <w:rPr>
          <w:rFonts w:ascii="Calibri" w:eastAsia="Calibri" w:hAnsi="Calibri" w:cs="Calibri"/>
          <w:sz w:val="24"/>
          <w:szCs w:val="24"/>
          <w:lang w:eastAsia="pl-PL" w:bidi="pl-PL"/>
        </w:rPr>
        <w:t>Friedrichswille</w:t>
      </w:r>
      <w:proofErr w:type="spellEnd"/>
      <w:r>
        <w:rPr>
          <w:rFonts w:ascii="Calibri" w:eastAsia="Calibri" w:hAnsi="Calibri" w:cs="Calibri"/>
          <w:sz w:val="24"/>
          <w:szCs w:val="24"/>
          <w:lang w:eastAsia="pl-PL" w:bidi="pl-PL"/>
        </w:rPr>
        <w:t>; odzyskiwaliśmy god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ność obywatelską poprzez ustawowe potwierdzenie prawa do własnej, innej niż większościowa, tożsamości. (...)</w:t>
      </w:r>
    </w:p>
    <w:p w:rsidR="00D255B1" w:rsidRDefault="001223B4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Następne szyldy odsłonięto 12 września 2008 r. w gminie Cisek. W kolejnych latach inne gminy i miejscowości składały wnioski o dwujęzyczne tablice 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>i były wpisywane do Rejestru gmin, na których obszarze używane są nazwy w języku mniejszości. Dzisiaj figurują w nim 62 pozycje (od marca 2025 r. już 65 pozycji), z których prawie połowę stanowią gminy z dodatkowymi nazwami w języku niemieckim. Pozostała d</w:t>
      </w:r>
      <w:r>
        <w:rPr>
          <w:rFonts w:ascii="Calibri" w:eastAsia="Calibri" w:hAnsi="Calibri" w:cs="Calibri"/>
          <w:sz w:val="24"/>
          <w:szCs w:val="24"/>
          <w:lang w:eastAsia="pl-PL" w:bidi="pl-PL"/>
        </w:rPr>
        <w:t xml:space="preserve">uża część to gminy z dodatkowymi nazwami w język kaszubskim i pojedyncze z językami litewskim, łemkowskim i  białoruskim. W sumie to kilkaset miejscowości, które świadczą o wielokulturowości (...). </w:t>
      </w: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(Bernard Gaida, mniejszość niemiecka)</w:t>
      </w:r>
    </w:p>
    <w:p w:rsidR="00D255B1" w:rsidRDefault="00D255B1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</w:p>
    <w:p w:rsidR="00D255B1" w:rsidRDefault="00D255B1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 xml:space="preserve">_  _  _  _  _  _ </w:t>
      </w:r>
    </w:p>
    <w:p w:rsidR="00D255B1" w:rsidRDefault="00D255B1">
      <w:pPr>
        <w:suppressAutoHyphens/>
        <w:rPr>
          <w:rFonts w:ascii="Calibri" w:eastAsia="Calibri" w:hAnsi="Calibri" w:cs="Calibri"/>
          <w:color w:val="000000"/>
          <w:sz w:val="22"/>
          <w:szCs w:val="22"/>
          <w:highlight w:val="yellow"/>
          <w:lang w:eastAsia="pl-PL" w:bidi="pl-PL"/>
        </w:rPr>
      </w:pPr>
    </w:p>
    <w:p w:rsidR="00D255B1" w:rsidRDefault="001223B4">
      <w:pPr>
        <w:suppressAutoHyphens/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color w:val="000000"/>
          <w:sz w:val="22"/>
          <w:szCs w:val="22"/>
          <w:lang w:eastAsia="pl-PL" w:bidi="pl-PL"/>
        </w:rPr>
        <w:t>Teksty pochodzą z publikacji</w:t>
      </w:r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: </w:t>
      </w:r>
      <w:r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  <w:t>Tożsamość, kultura, równość. Refleksje z okazji piętnastolecia Ustawy o mniejszościach narodowych i etnicznych oraz o języku regionalnym</w:t>
      </w:r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, pod red. Cezarego 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Obracht-Prondzyńskiego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 i Małgorzaty Milewskiej, Gdańsk 2020, strony 11, 13-14, 81-83, 91-92, 152-153, oraz z artykułu: Paweł 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Popieliński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: </w:t>
      </w:r>
      <w:r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  <w:t>Kwestia nauczania języka niemieckiego jako języka mniejszości</w:t>
      </w:r>
    </w:p>
    <w:p w:rsidR="00D255B1" w:rsidRDefault="001223B4">
      <w:pPr>
        <w:suppressAutoHyphens/>
        <w:rPr>
          <w:rFonts w:ascii="Calibri" w:eastAsia="Calibri" w:hAnsi="Calibri" w:cs="Calibri"/>
          <w:sz w:val="22"/>
          <w:szCs w:val="22"/>
          <w:lang w:eastAsia="pl-PL" w:bidi="pl-PL"/>
        </w:rPr>
      </w:pPr>
      <w:r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  <w:t>narodowej na tle praw mniejszości na</w:t>
      </w:r>
      <w:r>
        <w:rPr>
          <w:rFonts w:ascii="Calibri" w:eastAsia="Calibri" w:hAnsi="Calibri" w:cs="Calibri"/>
          <w:i/>
          <w:iCs/>
          <w:sz w:val="22"/>
          <w:szCs w:val="22"/>
          <w:lang w:eastAsia="pl-PL" w:bidi="pl-PL"/>
        </w:rPr>
        <w:t xml:space="preserve">rodowych i etnicznych w okresie rządów Prawa i Sprawiedliwości w Polsce w latach 2015–2023, </w:t>
      </w:r>
      <w:r>
        <w:rPr>
          <w:rFonts w:ascii="Calibri" w:eastAsia="Calibri" w:hAnsi="Calibri" w:cs="Calibri"/>
          <w:sz w:val="22"/>
          <w:szCs w:val="22"/>
          <w:lang w:eastAsia="pl-PL" w:bidi="pl-PL"/>
        </w:rPr>
        <w:t>w:  „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Annales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Universitatis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  <w:lang w:eastAsia="pl-PL" w:bidi="pl-PL"/>
        </w:rPr>
        <w:t>Mariae</w:t>
      </w:r>
      <w:proofErr w:type="spellEnd"/>
      <w:r>
        <w:rPr>
          <w:rFonts w:ascii="Calibri" w:eastAsia="Calibri" w:hAnsi="Calibri" w:cs="Calibri"/>
          <w:sz w:val="22"/>
          <w:szCs w:val="22"/>
          <w:lang w:eastAsia="pl-PL" w:bidi="pl-PL"/>
        </w:rPr>
        <w:t xml:space="preserve"> Curie-Skłodowska vol. 31, 2024), s. 89-105.</w:t>
      </w:r>
    </w:p>
    <w:sectPr w:rsidR="00D255B1">
      <w:type w:val="continuous"/>
      <w:pgSz w:w="11907" w:h="16839"/>
      <w:pgMar w:top="1134" w:right="908" w:bottom="1134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drawingGridHorizontalSpacing w:val="283"/>
  <w:drawingGridVerticalSpacing w:val="283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5B1"/>
    <w:rsid w:val="001223B4"/>
    <w:rsid w:val="00D2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C6FAD"/>
  <w15:docId w15:val="{E1F45083-5A89-48F0-BEA7-246758A81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1"/>
        <w:lang w:val="pl-PL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Nagwek2">
    <w:name w:val="heading 2"/>
    <w:basedOn w:val="Nagwek1"/>
    <w:next w:val="Normalny"/>
    <w:qFormat/>
    <w:pPr>
      <w:outlineLvl w:val="1"/>
    </w:pPr>
    <w:rPr>
      <w:sz w:val="32"/>
      <w:szCs w:val="32"/>
    </w:rPr>
  </w:style>
  <w:style w:type="paragraph" w:styleId="Nagwek3">
    <w:name w:val="heading 3"/>
    <w:basedOn w:val="Nagwek2"/>
    <w:next w:val="Normalny"/>
    <w:qFormat/>
    <w:pPr>
      <w:outlineLvl w:val="2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ommentText">
    <w:name w:val="Comment Text"/>
    <w:basedOn w:val="Normalny"/>
    <w:qFormat/>
  </w:style>
  <w:style w:type="paragraph" w:customStyle="1" w:styleId="CommentSubject">
    <w:name w:val="Comment Subject"/>
    <w:basedOn w:val="CommentText"/>
    <w:next w:val="CommentText"/>
    <w:qFormat/>
    <w:rPr>
      <w:b/>
      <w:bCs/>
    </w:rPr>
  </w:style>
  <w:style w:type="character" w:styleId="Hipercze">
    <w:name w:val="Hyperlink"/>
    <w:rPr>
      <w:color w:val="0000FF"/>
      <w:u w:val="single"/>
    </w:rPr>
  </w:style>
  <w:style w:type="table" w:customStyle="1" w:styleId="Zwykatabela">
    <w:name w:val="Zwykła tabel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1405</Words>
  <Characters>8855</Characters>
  <Application>Microsoft Office Word</Application>
  <DocSecurity>0</DocSecurity>
  <Lines>73</Lines>
  <Paragraphs>20</Paragraphs>
  <ScaleCrop>false</ScaleCrop>
  <Company/>
  <LinksUpToDate>false</LinksUpToDate>
  <CharactersWithSpaces>10240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Daniel Bewko</cp:lastModifiedBy>
  <cp:revision>4</cp:revision>
  <dcterms:created xsi:type="dcterms:W3CDTF">2025-04-01T10:11:00Z</dcterms:created>
  <dcterms:modified xsi:type="dcterms:W3CDTF">2025-04-17T10:20:00Z</dcterms:modified>
</cp:coreProperties>
</file>